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9" w:rsidRDefault="00764049" w:rsidP="0076404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Test </w:t>
      </w:r>
    </w:p>
    <w:p w:rsidR="00764049" w:rsidRDefault="00764049" w:rsidP="00764049">
      <w:pPr>
        <w:pStyle w:val="Default"/>
        <w:jc w:val="center"/>
        <w:rPr>
          <w:i/>
          <w:sz w:val="16"/>
          <w:szCs w:val="16"/>
        </w:rPr>
      </w:pPr>
      <w:r>
        <w:rPr>
          <w:b/>
          <w:bCs/>
        </w:rPr>
        <w:t>e-learning cz. 2</w:t>
      </w:r>
    </w:p>
    <w:p w:rsidR="00764049" w:rsidRPr="00B27CC7" w:rsidRDefault="00764049" w:rsidP="00764049">
      <w:pPr>
        <w:pStyle w:val="Default"/>
        <w:jc w:val="center"/>
        <w:rPr>
          <w:i/>
          <w:sz w:val="16"/>
          <w:szCs w:val="16"/>
        </w:rPr>
      </w:pPr>
    </w:p>
    <w:p w:rsidR="00764049" w:rsidRPr="00764049" w:rsidRDefault="00764049" w:rsidP="00764049">
      <w:pPr>
        <w:pStyle w:val="Default"/>
        <w:spacing w:after="47"/>
        <w:rPr>
          <w:b/>
        </w:rPr>
      </w:pPr>
      <w:r w:rsidRPr="00B27CC7">
        <w:rPr>
          <w:b/>
        </w:rPr>
        <w:t xml:space="preserve">1. </w:t>
      </w:r>
      <w:r>
        <w:rPr>
          <w:b/>
        </w:rPr>
        <w:t xml:space="preserve">Kompetencjami kluczowymi w rozumieniu </w:t>
      </w:r>
      <w:r w:rsidRPr="00764049">
        <w:rPr>
          <w:b/>
          <w:color w:val="auto"/>
        </w:rPr>
        <w:t>Zaleceń Parlamentu Europejskiego i Rady nr 2006/962/WE z dn. 18 grudnia 2006 r. w sprawie kompetencji kluczowych w procesie uczenia się przez całe życie</w:t>
      </w:r>
      <w:r w:rsidR="00BF79F8">
        <w:rPr>
          <w:b/>
          <w:color w:val="auto"/>
        </w:rPr>
        <w:t xml:space="preserve"> są m.in.</w:t>
      </w:r>
      <w:r w:rsidRPr="00764049">
        <w:rPr>
          <w:b/>
        </w:rPr>
        <w:t xml:space="preserve">: 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a) </w:t>
      </w:r>
      <w:r w:rsidR="00BF79F8">
        <w:t>czytanie, pisanie, liczenie.</w:t>
      </w:r>
      <w:r w:rsidRPr="00B27CC7">
        <w:t xml:space="preserve"> </w:t>
      </w:r>
    </w:p>
    <w:p w:rsidR="00764049" w:rsidRPr="00B27CC7" w:rsidRDefault="00764049" w:rsidP="00BF79F8">
      <w:pPr>
        <w:pStyle w:val="Default"/>
        <w:spacing w:after="47"/>
        <w:ind w:left="284" w:hanging="284"/>
      </w:pPr>
      <w:r w:rsidRPr="00B27CC7">
        <w:t xml:space="preserve">b) </w:t>
      </w:r>
      <w:r w:rsidR="00BF79F8">
        <w:t>doskonalenie umiejętności myślowo-językowych, łączenie zdolności krytycznego i logicznego myślenia z umiejętnościami wyobrażeniowo-twórczymi.</w:t>
      </w:r>
    </w:p>
    <w:p w:rsidR="00BF79F8" w:rsidRPr="00BF79F8" w:rsidRDefault="00764049" w:rsidP="00BF79F8">
      <w:pPr>
        <w:shd w:val="clear" w:color="auto" w:fill="FFFFFF"/>
        <w:spacing w:after="6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hAnsi="Arial" w:cs="Arial"/>
          <w:sz w:val="24"/>
          <w:szCs w:val="24"/>
        </w:rPr>
        <w:t xml:space="preserve">c) </w:t>
      </w:r>
      <w:r w:rsidR="00BF79F8" w:rsidRPr="00BF79F8">
        <w:rPr>
          <w:rFonts w:ascii="Arial" w:hAnsi="Arial" w:cs="Arial"/>
          <w:sz w:val="24"/>
          <w:szCs w:val="24"/>
        </w:rPr>
        <w:t>ś</w:t>
      </w:r>
      <w:r w:rsidR="00BF79F8" w:rsidRPr="00BF79F8">
        <w:rPr>
          <w:rFonts w:ascii="Arial" w:hAnsi="Arial" w:cs="Arial"/>
          <w:color w:val="222222"/>
          <w:sz w:val="24"/>
          <w:szCs w:val="24"/>
          <w:shd w:val="clear" w:color="auto" w:fill="FFFFFF"/>
        </w:rPr>
        <w:t>wiadomość i ekspresja kulturalna, u</w:t>
      </w:r>
      <w:r w:rsidR="00BF79F8"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miejętność </w:t>
      </w:r>
      <w:r w:rsidR="00BF79F8" w:rsidRPr="00BF79F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uczenia</w:t>
      </w:r>
      <w:r w:rsidR="00BF79F8"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się, Inicjatywność i przedsiębiorczość.</w:t>
      </w:r>
    </w:p>
    <w:p w:rsidR="00764049" w:rsidRPr="00B27CC7" w:rsidRDefault="00764049" w:rsidP="00764049">
      <w:pPr>
        <w:pStyle w:val="Default"/>
      </w:pPr>
    </w:p>
    <w:p w:rsidR="00764049" w:rsidRPr="00B27CC7" w:rsidRDefault="00764049" w:rsidP="00764049">
      <w:pPr>
        <w:pStyle w:val="Default"/>
      </w:pPr>
    </w:p>
    <w:p w:rsidR="00764049" w:rsidRPr="00B27CC7" w:rsidRDefault="00764049" w:rsidP="00764049">
      <w:pPr>
        <w:pStyle w:val="Default"/>
        <w:spacing w:after="49"/>
        <w:rPr>
          <w:b/>
        </w:rPr>
      </w:pPr>
      <w:r w:rsidRPr="00B27CC7">
        <w:rPr>
          <w:b/>
        </w:rPr>
        <w:t xml:space="preserve">2. </w:t>
      </w:r>
      <w:r w:rsidR="0039422E">
        <w:rPr>
          <w:b/>
        </w:rPr>
        <w:t>Wskaż</w:t>
      </w:r>
      <w:r w:rsidR="00BF79F8">
        <w:rPr>
          <w:b/>
        </w:rPr>
        <w:t xml:space="preserve"> </w:t>
      </w:r>
      <w:r w:rsidR="00073987">
        <w:rPr>
          <w:b/>
        </w:rPr>
        <w:t xml:space="preserve">trzy </w:t>
      </w:r>
      <w:r w:rsidR="00BF79F8">
        <w:rPr>
          <w:b/>
        </w:rPr>
        <w:t xml:space="preserve">kompetencje kluczowe, </w:t>
      </w:r>
      <w:r w:rsidR="0039422E">
        <w:rPr>
          <w:b/>
        </w:rPr>
        <w:t>których kształtowanie w największym stopniu</w:t>
      </w:r>
      <w:r w:rsidR="00BF79F8">
        <w:rPr>
          <w:b/>
        </w:rPr>
        <w:t xml:space="preserve"> </w:t>
      </w:r>
      <w:r w:rsidR="0039422E">
        <w:rPr>
          <w:b/>
        </w:rPr>
        <w:t xml:space="preserve">wiąże się </w:t>
      </w:r>
      <w:r w:rsidR="00BF79F8">
        <w:rPr>
          <w:b/>
        </w:rPr>
        <w:t xml:space="preserve"> </w:t>
      </w:r>
      <w:r w:rsidR="0039422E">
        <w:rPr>
          <w:b/>
        </w:rPr>
        <w:t xml:space="preserve">z procesem kształtowania </w:t>
      </w:r>
      <w:r w:rsidR="00BF79F8">
        <w:rPr>
          <w:b/>
        </w:rPr>
        <w:t>kompetencji matematyczno-przyrodniczych</w:t>
      </w:r>
      <w:r w:rsidRPr="00B27CC7">
        <w:rPr>
          <w:b/>
        </w:rPr>
        <w:t xml:space="preserve">: </w:t>
      </w:r>
    </w:p>
    <w:p w:rsidR="00BF79F8" w:rsidRPr="00BF79F8" w:rsidRDefault="00BF79F8" w:rsidP="0039422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Porozumiewanie się w </w:t>
      </w:r>
      <w:r w:rsidRPr="00BF79F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języku</w:t>
      </w: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ojczystym.</w:t>
      </w:r>
    </w:p>
    <w:p w:rsidR="00BF79F8" w:rsidRPr="00BF79F8" w:rsidRDefault="00BF79F8" w:rsidP="0039422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Porozumiewanie się w językach obcych.</w:t>
      </w:r>
    </w:p>
    <w:p w:rsidR="00BF79F8" w:rsidRPr="00BF79F8" w:rsidRDefault="00BF79F8" w:rsidP="0039422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Kompetencje matematyczne i podstawowe kompetencje naukowo-techniczne.</w:t>
      </w:r>
    </w:p>
    <w:p w:rsidR="00BF79F8" w:rsidRPr="00BF79F8" w:rsidRDefault="00BF79F8" w:rsidP="0039422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Kompetencje informatyczne.</w:t>
      </w:r>
    </w:p>
    <w:p w:rsidR="00BF79F8" w:rsidRPr="00BF79F8" w:rsidRDefault="00BF79F8" w:rsidP="0039422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Umiejętność </w:t>
      </w:r>
      <w:r w:rsidRPr="00BF79F8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uczenia</w:t>
      </w: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się</w:t>
      </w:r>
    </w:p>
    <w:p w:rsidR="00BF79F8" w:rsidRPr="00BF79F8" w:rsidRDefault="00BF79F8" w:rsidP="0039422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Kompetencje społeczne i obywatelskie.</w:t>
      </w:r>
    </w:p>
    <w:p w:rsidR="00BF79F8" w:rsidRPr="00BF79F8" w:rsidRDefault="00BF79F8" w:rsidP="0039422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Inicjatywność i przedsiębiorczość</w:t>
      </w:r>
    </w:p>
    <w:p w:rsidR="00BF79F8" w:rsidRPr="00BF79F8" w:rsidRDefault="00BF79F8" w:rsidP="0039422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F79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Świadomość i ekspresja kulturalna.</w:t>
      </w:r>
    </w:p>
    <w:p w:rsidR="00764049" w:rsidRDefault="00764049" w:rsidP="00764049">
      <w:pPr>
        <w:pStyle w:val="Default"/>
      </w:pPr>
    </w:p>
    <w:p w:rsidR="00BF79F8" w:rsidRPr="00B27CC7" w:rsidRDefault="00BF79F8" w:rsidP="00764049">
      <w:pPr>
        <w:pStyle w:val="Default"/>
      </w:pPr>
    </w:p>
    <w:p w:rsidR="00764049" w:rsidRPr="00B27CC7" w:rsidRDefault="00764049" w:rsidP="00764049">
      <w:pPr>
        <w:pStyle w:val="Default"/>
        <w:spacing w:after="47"/>
        <w:rPr>
          <w:b/>
        </w:rPr>
      </w:pPr>
      <w:r w:rsidRPr="00B27CC7">
        <w:rPr>
          <w:b/>
        </w:rPr>
        <w:t xml:space="preserve">3. </w:t>
      </w:r>
      <w:r w:rsidR="0039422E">
        <w:rPr>
          <w:b/>
        </w:rPr>
        <w:t>Wskaż akty prawne, które implementują do polskiego systemu edukacyjnego zapisy kompetencji kluczowych</w:t>
      </w:r>
      <w:r w:rsidRPr="00B27CC7">
        <w:rPr>
          <w:b/>
        </w:rPr>
        <w:t xml:space="preserve">: 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a) </w:t>
      </w:r>
      <w:r w:rsidR="00073987">
        <w:t>r</w:t>
      </w:r>
      <w:r w:rsidR="00073987" w:rsidRPr="00B27CC7">
        <w:t>o</w:t>
      </w:r>
      <w:r w:rsidR="00073987">
        <w:t xml:space="preserve">zporządzenie w sprawie podstawy programowej i rozporządzenie w </w:t>
      </w:r>
      <w:r w:rsidR="00073987" w:rsidRPr="00B27CC7">
        <w:t xml:space="preserve"> </w:t>
      </w:r>
      <w:r w:rsidR="00073987">
        <w:t xml:space="preserve">sprawie wymagań wobec szkół. </w:t>
      </w:r>
    </w:p>
    <w:p w:rsidR="00764049" w:rsidRPr="00B27CC7" w:rsidRDefault="00764049" w:rsidP="0039422E">
      <w:pPr>
        <w:pStyle w:val="Default"/>
        <w:spacing w:after="47"/>
        <w:ind w:left="284" w:hanging="284"/>
      </w:pPr>
      <w:r w:rsidRPr="00B27CC7">
        <w:t xml:space="preserve">b) </w:t>
      </w:r>
      <w:r w:rsidR="0039422E">
        <w:t>rozporządzenie w sprawie uzyskiwania stopni awansu zawodowego i rozporządzenie w sprawie placówek doskonalenia nauczycieli</w:t>
      </w:r>
      <w:r w:rsidRPr="00B27CC7">
        <w:t xml:space="preserve"> </w:t>
      </w:r>
    </w:p>
    <w:p w:rsidR="00764049" w:rsidRPr="00B27CC7" w:rsidRDefault="00764049" w:rsidP="00073987">
      <w:pPr>
        <w:pStyle w:val="Default"/>
        <w:ind w:left="284" w:hanging="284"/>
      </w:pPr>
      <w:r w:rsidRPr="00B27CC7">
        <w:t xml:space="preserve">c) </w:t>
      </w:r>
      <w:r w:rsidR="00073987">
        <w:t>ustawa o systemie oświaty i ustawa o finansowaniu oświaty</w:t>
      </w:r>
      <w:r w:rsidR="0039422E">
        <w:t>.</w:t>
      </w:r>
    </w:p>
    <w:p w:rsidR="00764049" w:rsidRPr="00B27CC7" w:rsidRDefault="00764049" w:rsidP="00764049">
      <w:pPr>
        <w:pStyle w:val="Default"/>
      </w:pPr>
    </w:p>
    <w:p w:rsidR="00764049" w:rsidRPr="00B27CC7" w:rsidRDefault="00764049" w:rsidP="00764049">
      <w:pPr>
        <w:pStyle w:val="Default"/>
        <w:spacing w:after="47"/>
        <w:rPr>
          <w:b/>
        </w:rPr>
      </w:pPr>
      <w:r w:rsidRPr="00B27CC7">
        <w:rPr>
          <w:b/>
        </w:rPr>
        <w:t xml:space="preserve">4. </w:t>
      </w:r>
      <w:r w:rsidR="0039422E">
        <w:rPr>
          <w:b/>
        </w:rPr>
        <w:t>Przez kształtowanie kompetencji należy rozumieć</w:t>
      </w:r>
      <w:r w:rsidRPr="00B27CC7">
        <w:rPr>
          <w:b/>
        </w:rPr>
        <w:t xml:space="preserve">: 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a) </w:t>
      </w:r>
      <w:r w:rsidR="0039422E">
        <w:t>zdobywanie nawyków, które pozwalają automatycznie i efektywnie realizować pewne procesy</w:t>
      </w:r>
      <w:r w:rsidR="00E727BA">
        <w:t>.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b) </w:t>
      </w:r>
      <w:r w:rsidR="0039422E">
        <w:t>zasób wiedzy</w:t>
      </w:r>
      <w:r w:rsidR="00E727BA">
        <w:t xml:space="preserve"> i metody jej praktycznego zastosowania w sytuacjach problemowych.</w:t>
      </w:r>
      <w:r w:rsidRPr="00B27CC7">
        <w:t xml:space="preserve"> </w:t>
      </w:r>
    </w:p>
    <w:p w:rsidR="00764049" w:rsidRPr="00B27CC7" w:rsidRDefault="00764049" w:rsidP="00764049">
      <w:pPr>
        <w:pStyle w:val="Default"/>
      </w:pPr>
      <w:r w:rsidRPr="00B27CC7">
        <w:t xml:space="preserve">c) </w:t>
      </w:r>
      <w:r w:rsidR="00E727BA">
        <w:t>wiedzę, umiejętności i postawy, które wspólnie pozwalają realizować określone role we współczesnym świecie.</w:t>
      </w:r>
    </w:p>
    <w:p w:rsidR="00764049" w:rsidRPr="00B27CC7" w:rsidRDefault="00764049" w:rsidP="00764049">
      <w:pPr>
        <w:pStyle w:val="Default"/>
      </w:pPr>
    </w:p>
    <w:p w:rsidR="00764049" w:rsidRPr="00B27CC7" w:rsidRDefault="00764049" w:rsidP="00764049">
      <w:pPr>
        <w:pStyle w:val="Default"/>
        <w:spacing w:after="47"/>
        <w:rPr>
          <w:b/>
        </w:rPr>
      </w:pPr>
      <w:r w:rsidRPr="00B27CC7">
        <w:rPr>
          <w:b/>
        </w:rPr>
        <w:t xml:space="preserve">5. </w:t>
      </w:r>
      <w:r w:rsidR="007859F5">
        <w:rPr>
          <w:b/>
        </w:rPr>
        <w:t>PISA to międzynarodowe badanie umiejętności</w:t>
      </w:r>
      <w:r w:rsidRPr="00B27CC7">
        <w:rPr>
          <w:b/>
        </w:rPr>
        <w:t xml:space="preserve">: 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a) </w:t>
      </w:r>
      <w:r w:rsidR="007859F5">
        <w:t>matematycznych.</w:t>
      </w:r>
      <w:r w:rsidRPr="00B27CC7">
        <w:t xml:space="preserve"> 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b) </w:t>
      </w:r>
      <w:r w:rsidR="007859F5">
        <w:t>matematycznych i rozumowania naukowego.</w:t>
      </w:r>
      <w:r w:rsidRPr="00B27CC7">
        <w:t xml:space="preserve"> </w:t>
      </w:r>
    </w:p>
    <w:p w:rsidR="00764049" w:rsidRPr="00B27CC7" w:rsidRDefault="00764049" w:rsidP="00764049">
      <w:pPr>
        <w:pStyle w:val="Default"/>
      </w:pPr>
      <w:r w:rsidRPr="00B27CC7">
        <w:t xml:space="preserve">c) </w:t>
      </w:r>
      <w:r w:rsidR="007859F5">
        <w:t>matematycznych, rozumowania naukowego oraz czytania i interpretowania tekstu.</w:t>
      </w:r>
    </w:p>
    <w:p w:rsidR="00764049" w:rsidRPr="00B27CC7" w:rsidRDefault="00764049" w:rsidP="00764049">
      <w:pPr>
        <w:pStyle w:val="Default"/>
      </w:pPr>
    </w:p>
    <w:p w:rsidR="00764049" w:rsidRPr="00B27CC7" w:rsidRDefault="00764049" w:rsidP="00764049">
      <w:pPr>
        <w:pStyle w:val="Default"/>
        <w:spacing w:after="47"/>
        <w:rPr>
          <w:b/>
        </w:rPr>
      </w:pPr>
      <w:r w:rsidRPr="00B27CC7">
        <w:rPr>
          <w:b/>
        </w:rPr>
        <w:t xml:space="preserve">6. </w:t>
      </w:r>
      <w:r w:rsidR="00BB0B94">
        <w:rPr>
          <w:b/>
        </w:rPr>
        <w:t>EWD to</w:t>
      </w:r>
      <w:r w:rsidRPr="00B27CC7">
        <w:rPr>
          <w:b/>
        </w:rPr>
        <w:t xml:space="preserve">: 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a) </w:t>
      </w:r>
      <w:r w:rsidR="00BB0B94">
        <w:t>uniwersalne narzędzie do diagnozowania pracy szkoły w procesie kompleksowego wsparcia.</w:t>
      </w:r>
      <w:r w:rsidRPr="00B27CC7">
        <w:t xml:space="preserve"> 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b) </w:t>
      </w:r>
      <w:r w:rsidR="00BB0B94">
        <w:t>wskaźnik mierzący efektywność oddziaływań edukacyjnych szkoły, porównujący wyniki egzaminów na zakończenie cyklu kształcenia z wynikami wcześniejszego etapu edukacyjnego.</w:t>
      </w:r>
      <w:r w:rsidRPr="00B27CC7">
        <w:t xml:space="preserve"> </w:t>
      </w:r>
    </w:p>
    <w:p w:rsidR="00764049" w:rsidRPr="00B27CC7" w:rsidRDefault="00764049" w:rsidP="00764049">
      <w:pPr>
        <w:pStyle w:val="Default"/>
      </w:pPr>
      <w:r w:rsidRPr="00B27CC7">
        <w:t xml:space="preserve">c) </w:t>
      </w:r>
      <w:r w:rsidR="00BB0B94">
        <w:t>platforma internetowa, na której możemy porównań wyniki egzaminu maturalnego mierzone w procentach.</w:t>
      </w:r>
      <w:r w:rsidRPr="00B27CC7">
        <w:t xml:space="preserve"> </w:t>
      </w:r>
    </w:p>
    <w:p w:rsidR="00764049" w:rsidRPr="00B27CC7" w:rsidRDefault="00764049" w:rsidP="00764049">
      <w:pPr>
        <w:pStyle w:val="Default"/>
      </w:pPr>
    </w:p>
    <w:p w:rsidR="00764049" w:rsidRPr="00B27CC7" w:rsidRDefault="00764049" w:rsidP="00764049">
      <w:pPr>
        <w:pStyle w:val="Default"/>
        <w:spacing w:after="47"/>
        <w:rPr>
          <w:b/>
        </w:rPr>
      </w:pPr>
      <w:r w:rsidRPr="00B27CC7">
        <w:rPr>
          <w:b/>
        </w:rPr>
        <w:t xml:space="preserve">7. </w:t>
      </w:r>
      <w:r w:rsidR="00CB612E">
        <w:rPr>
          <w:b/>
        </w:rPr>
        <w:t xml:space="preserve">W koncepcji czterech faz kompetencji Noela </w:t>
      </w:r>
      <w:proofErr w:type="spellStart"/>
      <w:r w:rsidR="00CB612E">
        <w:rPr>
          <w:b/>
        </w:rPr>
        <w:t>Burcha</w:t>
      </w:r>
      <w:proofErr w:type="spellEnd"/>
      <w:r w:rsidR="00CB612E">
        <w:rPr>
          <w:b/>
        </w:rPr>
        <w:t xml:space="preserve"> uczący się przechodzi</w:t>
      </w:r>
      <w:r w:rsidRPr="00B27CC7">
        <w:rPr>
          <w:b/>
        </w:rPr>
        <w:t xml:space="preserve">: 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a) </w:t>
      </w:r>
      <w:r w:rsidR="00CB612E">
        <w:t>od fazy świadomej niekompetencji do fazy świadomej kompetencji.</w:t>
      </w:r>
    </w:p>
    <w:p w:rsidR="00764049" w:rsidRPr="00B27CC7" w:rsidRDefault="00764049" w:rsidP="00764049">
      <w:pPr>
        <w:pStyle w:val="Default"/>
        <w:spacing w:after="47"/>
      </w:pPr>
      <w:r w:rsidRPr="00B27CC7">
        <w:t xml:space="preserve">b) </w:t>
      </w:r>
      <w:r w:rsidR="00CB612E">
        <w:t>od fazy nieświadomej niekompetencji do fazy świadomej kompetencji.</w:t>
      </w:r>
      <w:r w:rsidRPr="00B27CC7">
        <w:t xml:space="preserve"> </w:t>
      </w:r>
    </w:p>
    <w:p w:rsidR="00764049" w:rsidRPr="00B27CC7" w:rsidRDefault="00764049" w:rsidP="00764049">
      <w:pPr>
        <w:pStyle w:val="Default"/>
      </w:pPr>
      <w:r w:rsidRPr="00B27CC7">
        <w:t xml:space="preserve">c) </w:t>
      </w:r>
      <w:r w:rsidR="00CB612E">
        <w:t>od fazy nieświadomej niekompetencji do fazy nieświadomej kompetencji.</w:t>
      </w:r>
      <w:r w:rsidRPr="00B27CC7">
        <w:t xml:space="preserve"> </w:t>
      </w:r>
    </w:p>
    <w:p w:rsidR="00764049" w:rsidRPr="00B27CC7" w:rsidRDefault="00764049" w:rsidP="00764049">
      <w:pPr>
        <w:pStyle w:val="Default"/>
      </w:pPr>
    </w:p>
    <w:p w:rsidR="00764049" w:rsidRPr="00B27CC7" w:rsidRDefault="00CB612E" w:rsidP="00764049">
      <w:pPr>
        <w:pStyle w:val="Default"/>
        <w:spacing w:after="49"/>
        <w:rPr>
          <w:b/>
        </w:rPr>
      </w:pPr>
      <w:r>
        <w:rPr>
          <w:b/>
        </w:rPr>
        <w:t>8. W teorii wielorakiej inteligencji Howard Gardner stwierdza, że</w:t>
      </w:r>
      <w:r w:rsidR="00764049" w:rsidRPr="00B27CC7">
        <w:rPr>
          <w:b/>
        </w:rPr>
        <w:t xml:space="preserve">: </w:t>
      </w:r>
    </w:p>
    <w:p w:rsidR="00764049" w:rsidRPr="00B27CC7" w:rsidRDefault="00764049" w:rsidP="00764049">
      <w:pPr>
        <w:pStyle w:val="Default"/>
        <w:spacing w:after="49"/>
      </w:pPr>
      <w:r w:rsidRPr="00B27CC7">
        <w:t xml:space="preserve">a) </w:t>
      </w:r>
      <w:r w:rsidR="00CB612E">
        <w:t>każdy może osiągnąć sukces w edukacji matematycznej na wysokim poziomie.</w:t>
      </w:r>
    </w:p>
    <w:p w:rsidR="00764049" w:rsidRPr="00B27CC7" w:rsidRDefault="00764049" w:rsidP="00764049">
      <w:pPr>
        <w:pStyle w:val="Default"/>
        <w:spacing w:after="49"/>
      </w:pPr>
      <w:r w:rsidRPr="00B27CC7">
        <w:t xml:space="preserve">b) </w:t>
      </w:r>
      <w:r w:rsidR="00CB612E">
        <w:t>każdy jest inteligentny w obszarze właściwym dla jego profilu.</w:t>
      </w:r>
    </w:p>
    <w:p w:rsidR="00764049" w:rsidRDefault="00764049" w:rsidP="00764049">
      <w:pPr>
        <w:pStyle w:val="Default"/>
      </w:pPr>
      <w:r w:rsidRPr="00B27CC7">
        <w:t xml:space="preserve">c) </w:t>
      </w:r>
      <w:r w:rsidR="00CB612E">
        <w:t>poprzez właściwe neurolingwistyczne programowanie możemy każdemu uczniowi zagwarantować sukces w dowolnym obszarze.</w:t>
      </w:r>
    </w:p>
    <w:p w:rsidR="00764049" w:rsidRPr="00B27CC7" w:rsidRDefault="00764049" w:rsidP="00764049">
      <w:pPr>
        <w:pStyle w:val="Default"/>
        <w:rPr>
          <w:color w:val="auto"/>
        </w:rPr>
      </w:pPr>
    </w:p>
    <w:p w:rsidR="00764049" w:rsidRPr="00B27CC7" w:rsidRDefault="00764049" w:rsidP="00764049">
      <w:pPr>
        <w:pStyle w:val="Default"/>
        <w:spacing w:after="47"/>
        <w:rPr>
          <w:b/>
          <w:color w:val="auto"/>
        </w:rPr>
      </w:pPr>
      <w:r w:rsidRPr="00B27CC7">
        <w:rPr>
          <w:b/>
          <w:color w:val="auto"/>
        </w:rPr>
        <w:t xml:space="preserve">9. </w:t>
      </w:r>
      <w:r w:rsidR="000974AB">
        <w:rPr>
          <w:b/>
          <w:color w:val="auto"/>
        </w:rPr>
        <w:t xml:space="preserve">Sfera kognitywna, do której odwołuje się taksonomia </w:t>
      </w:r>
      <w:proofErr w:type="spellStart"/>
      <w:r w:rsidR="000974AB">
        <w:rPr>
          <w:b/>
          <w:color w:val="auto"/>
        </w:rPr>
        <w:t>Blooma’a</w:t>
      </w:r>
      <w:proofErr w:type="spellEnd"/>
      <w:r w:rsidR="000974AB">
        <w:rPr>
          <w:b/>
          <w:color w:val="auto"/>
        </w:rPr>
        <w:t xml:space="preserve"> to sfera</w:t>
      </w:r>
      <w:r w:rsidRPr="00B27CC7">
        <w:rPr>
          <w:b/>
          <w:color w:val="auto"/>
        </w:rPr>
        <w:t xml:space="preserve"> </w:t>
      </w:r>
    </w:p>
    <w:p w:rsidR="00764049" w:rsidRPr="00B27CC7" w:rsidRDefault="00764049" w:rsidP="00764049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a) </w:t>
      </w:r>
      <w:r w:rsidR="000974AB">
        <w:rPr>
          <w:color w:val="auto"/>
        </w:rPr>
        <w:t>psychomotoryczna.</w:t>
      </w:r>
      <w:r w:rsidRPr="00B27CC7">
        <w:rPr>
          <w:color w:val="auto"/>
        </w:rPr>
        <w:t xml:space="preserve"> </w:t>
      </w:r>
    </w:p>
    <w:p w:rsidR="00764049" w:rsidRDefault="000974AB" w:rsidP="00764049">
      <w:pPr>
        <w:pStyle w:val="Default"/>
        <w:rPr>
          <w:color w:val="auto"/>
        </w:rPr>
      </w:pPr>
      <w:r>
        <w:rPr>
          <w:color w:val="auto"/>
        </w:rPr>
        <w:t>b) poznawcza.</w:t>
      </w:r>
    </w:p>
    <w:p w:rsidR="000974AB" w:rsidRPr="00B27CC7" w:rsidRDefault="000974AB" w:rsidP="00764049">
      <w:pPr>
        <w:pStyle w:val="Default"/>
        <w:rPr>
          <w:color w:val="auto"/>
        </w:rPr>
      </w:pPr>
      <w:r>
        <w:rPr>
          <w:color w:val="auto"/>
        </w:rPr>
        <w:t>c) emocjonalna.</w:t>
      </w:r>
    </w:p>
    <w:p w:rsidR="00764049" w:rsidRPr="00B27CC7" w:rsidRDefault="00764049" w:rsidP="00764049">
      <w:pPr>
        <w:pStyle w:val="Default"/>
        <w:rPr>
          <w:color w:val="auto"/>
        </w:rPr>
      </w:pPr>
    </w:p>
    <w:p w:rsidR="00764049" w:rsidRPr="00B27CC7" w:rsidRDefault="00764049" w:rsidP="00764049">
      <w:pPr>
        <w:pStyle w:val="Default"/>
        <w:spacing w:after="49"/>
        <w:rPr>
          <w:b/>
          <w:color w:val="auto"/>
        </w:rPr>
      </w:pPr>
      <w:r w:rsidRPr="00B27CC7">
        <w:rPr>
          <w:b/>
          <w:color w:val="auto"/>
        </w:rPr>
        <w:t xml:space="preserve">10. </w:t>
      </w:r>
      <w:r w:rsidR="000974AB">
        <w:rPr>
          <w:b/>
          <w:color w:val="auto"/>
        </w:rPr>
        <w:t>Strategia asocjacyjna w procesie uczenia się odwołuje się do procesu</w:t>
      </w:r>
      <w:r w:rsidRPr="00B27CC7">
        <w:rPr>
          <w:b/>
          <w:color w:val="auto"/>
        </w:rPr>
        <w:t xml:space="preserve"> </w:t>
      </w:r>
    </w:p>
    <w:p w:rsidR="00764049" w:rsidRPr="00B27CC7" w:rsidRDefault="00764049" w:rsidP="00764049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a) </w:t>
      </w:r>
      <w:r w:rsidR="000974AB">
        <w:rPr>
          <w:color w:val="auto"/>
        </w:rPr>
        <w:t>odkrywania.</w:t>
      </w:r>
      <w:r w:rsidRPr="00B27CC7">
        <w:rPr>
          <w:color w:val="auto"/>
        </w:rPr>
        <w:t xml:space="preserve"> </w:t>
      </w:r>
    </w:p>
    <w:p w:rsidR="00764049" w:rsidRPr="00B27CC7" w:rsidRDefault="00764049" w:rsidP="00764049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b) </w:t>
      </w:r>
      <w:r w:rsidR="000974AB">
        <w:rPr>
          <w:color w:val="auto"/>
        </w:rPr>
        <w:t>przyswajania.</w:t>
      </w:r>
      <w:r w:rsidRPr="00B27CC7">
        <w:rPr>
          <w:color w:val="auto"/>
        </w:rPr>
        <w:t xml:space="preserve"> </w:t>
      </w:r>
    </w:p>
    <w:p w:rsidR="00764049" w:rsidRPr="00B27CC7" w:rsidRDefault="000974AB" w:rsidP="00764049">
      <w:pPr>
        <w:pStyle w:val="Default"/>
        <w:rPr>
          <w:color w:val="auto"/>
        </w:rPr>
      </w:pPr>
      <w:r>
        <w:rPr>
          <w:color w:val="auto"/>
        </w:rPr>
        <w:t>c) przeżywania.</w:t>
      </w:r>
    </w:p>
    <w:p w:rsidR="00764049" w:rsidRPr="00B27CC7" w:rsidRDefault="00764049" w:rsidP="00764049">
      <w:pPr>
        <w:pStyle w:val="Default"/>
        <w:rPr>
          <w:b/>
          <w:color w:val="auto"/>
        </w:rPr>
      </w:pPr>
    </w:p>
    <w:p w:rsidR="00764049" w:rsidRPr="00B27CC7" w:rsidRDefault="00764049" w:rsidP="00764049">
      <w:pPr>
        <w:pStyle w:val="Default"/>
        <w:spacing w:after="49"/>
        <w:rPr>
          <w:b/>
          <w:color w:val="auto"/>
        </w:rPr>
      </w:pPr>
      <w:r w:rsidRPr="00B27CC7">
        <w:rPr>
          <w:b/>
          <w:color w:val="auto"/>
        </w:rPr>
        <w:t xml:space="preserve">11. W </w:t>
      </w:r>
      <w:r w:rsidR="000974AB">
        <w:rPr>
          <w:b/>
          <w:color w:val="auto"/>
        </w:rPr>
        <w:t>ocenianiu kształtującym czynnikiem, który w największym stopniu wpływa na efektywność procesu uczenia się jest</w:t>
      </w:r>
      <w:r w:rsidRPr="00B27CC7">
        <w:rPr>
          <w:b/>
          <w:color w:val="auto"/>
        </w:rPr>
        <w:t xml:space="preserve">: </w:t>
      </w:r>
    </w:p>
    <w:p w:rsidR="00764049" w:rsidRPr="00B27CC7" w:rsidRDefault="00764049" w:rsidP="00764049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a) </w:t>
      </w:r>
      <w:r w:rsidR="000974AB">
        <w:rPr>
          <w:color w:val="auto"/>
        </w:rPr>
        <w:t>systematyczne, zgodne z harmonogramem, ocenianie osiągnięć szkolnych w postaci oceny.</w:t>
      </w:r>
      <w:r w:rsidRPr="00B27CC7">
        <w:rPr>
          <w:color w:val="auto"/>
        </w:rPr>
        <w:t xml:space="preserve"> </w:t>
      </w:r>
    </w:p>
    <w:p w:rsidR="000974AB" w:rsidRDefault="00764049" w:rsidP="00764049">
      <w:pPr>
        <w:pStyle w:val="Default"/>
        <w:rPr>
          <w:color w:val="auto"/>
        </w:rPr>
      </w:pPr>
      <w:r w:rsidRPr="00B27CC7">
        <w:rPr>
          <w:color w:val="auto"/>
        </w:rPr>
        <w:t xml:space="preserve">b) </w:t>
      </w:r>
      <w:r w:rsidR="000974AB">
        <w:rPr>
          <w:color w:val="auto"/>
        </w:rPr>
        <w:t>przekazywanie informacji zwrotnej, która w każdej sytuacji (sukces/porażka) wskazuje uczniowi kierunek rozwoju.</w:t>
      </w:r>
    </w:p>
    <w:p w:rsidR="00764049" w:rsidRPr="00B27CC7" w:rsidRDefault="000974AB" w:rsidP="00764049">
      <w:pPr>
        <w:pStyle w:val="Default"/>
        <w:rPr>
          <w:color w:val="auto"/>
        </w:rPr>
      </w:pPr>
      <w:r>
        <w:rPr>
          <w:color w:val="auto"/>
        </w:rPr>
        <w:t xml:space="preserve">c) </w:t>
      </w:r>
      <w:r w:rsidR="00764049" w:rsidRPr="00B27CC7">
        <w:rPr>
          <w:color w:val="auto"/>
        </w:rPr>
        <w:t xml:space="preserve"> </w:t>
      </w:r>
      <w:r>
        <w:rPr>
          <w:color w:val="auto"/>
        </w:rPr>
        <w:t>określenie na początku lekcji celów, jakie stawia przed uczniem nauczyciel.</w:t>
      </w:r>
    </w:p>
    <w:p w:rsidR="00764049" w:rsidRPr="00B27CC7" w:rsidRDefault="00764049" w:rsidP="00764049">
      <w:pPr>
        <w:pStyle w:val="Default"/>
        <w:rPr>
          <w:color w:val="auto"/>
        </w:rPr>
      </w:pPr>
    </w:p>
    <w:p w:rsidR="00764049" w:rsidRPr="00B27CC7" w:rsidRDefault="00764049" w:rsidP="00764049">
      <w:pPr>
        <w:pStyle w:val="Default"/>
        <w:spacing w:after="50"/>
        <w:rPr>
          <w:b/>
          <w:color w:val="auto"/>
        </w:rPr>
      </w:pPr>
      <w:r w:rsidRPr="00B27CC7">
        <w:rPr>
          <w:b/>
          <w:color w:val="auto"/>
        </w:rPr>
        <w:t xml:space="preserve">12. </w:t>
      </w:r>
      <w:r w:rsidR="00EE24DA">
        <w:rPr>
          <w:b/>
          <w:color w:val="auto"/>
        </w:rPr>
        <w:t>IBSE to metoda kształcenia oparta na</w:t>
      </w:r>
      <w:r w:rsidRPr="00B27CC7">
        <w:rPr>
          <w:b/>
          <w:color w:val="auto"/>
        </w:rPr>
        <w:t xml:space="preserve">: </w:t>
      </w:r>
    </w:p>
    <w:p w:rsidR="00764049" w:rsidRPr="00B27CC7" w:rsidRDefault="00764049" w:rsidP="00764049">
      <w:pPr>
        <w:pStyle w:val="Default"/>
        <w:spacing w:after="50"/>
        <w:rPr>
          <w:color w:val="auto"/>
        </w:rPr>
      </w:pPr>
      <w:r w:rsidRPr="00B27CC7">
        <w:rPr>
          <w:color w:val="auto"/>
        </w:rPr>
        <w:t xml:space="preserve">a) </w:t>
      </w:r>
      <w:r w:rsidR="00EE24DA">
        <w:rPr>
          <w:color w:val="auto"/>
        </w:rPr>
        <w:t>procesie zadawania pytań, które prowadzą do rozwiązania problemu.</w:t>
      </w:r>
      <w:r w:rsidRPr="00B27CC7">
        <w:rPr>
          <w:color w:val="auto"/>
        </w:rPr>
        <w:t xml:space="preserve"> </w:t>
      </w:r>
    </w:p>
    <w:p w:rsidR="00764049" w:rsidRPr="00B27CC7" w:rsidRDefault="00764049" w:rsidP="00764049">
      <w:pPr>
        <w:pStyle w:val="Default"/>
        <w:spacing w:after="50"/>
        <w:rPr>
          <w:color w:val="auto"/>
        </w:rPr>
      </w:pPr>
      <w:r w:rsidRPr="00B27CC7">
        <w:rPr>
          <w:color w:val="auto"/>
        </w:rPr>
        <w:t xml:space="preserve">b) </w:t>
      </w:r>
      <w:r w:rsidR="00EE24DA">
        <w:rPr>
          <w:color w:val="auto"/>
        </w:rPr>
        <w:t>odkrywaniu przez uczącego się prawidłowości np. w świecie przyrody.</w:t>
      </w:r>
    </w:p>
    <w:p w:rsidR="00764049" w:rsidRPr="00B27CC7" w:rsidRDefault="00764049" w:rsidP="00764049">
      <w:pPr>
        <w:pStyle w:val="Default"/>
        <w:rPr>
          <w:color w:val="auto"/>
        </w:rPr>
      </w:pPr>
      <w:r w:rsidRPr="00B27CC7">
        <w:rPr>
          <w:color w:val="auto"/>
        </w:rPr>
        <w:t xml:space="preserve">c) </w:t>
      </w:r>
      <w:r w:rsidR="00EE24DA">
        <w:rPr>
          <w:color w:val="auto"/>
        </w:rPr>
        <w:t>grupowego (projektowego) rozwiązywania problemów matematycznych stawianych przez nauczyciela.</w:t>
      </w:r>
      <w:r w:rsidRPr="00B27CC7">
        <w:rPr>
          <w:color w:val="auto"/>
        </w:rPr>
        <w:t xml:space="preserve"> </w:t>
      </w:r>
    </w:p>
    <w:p w:rsidR="00764049" w:rsidRPr="00B27CC7" w:rsidRDefault="00764049" w:rsidP="00764049">
      <w:pPr>
        <w:pStyle w:val="Default"/>
        <w:rPr>
          <w:color w:val="auto"/>
        </w:rPr>
      </w:pPr>
    </w:p>
    <w:p w:rsidR="00764049" w:rsidRPr="00B27CC7" w:rsidRDefault="00764049" w:rsidP="00764049">
      <w:pPr>
        <w:pStyle w:val="Default"/>
        <w:spacing w:after="49"/>
        <w:rPr>
          <w:b/>
          <w:color w:val="auto"/>
        </w:rPr>
      </w:pPr>
      <w:r w:rsidRPr="00B27CC7">
        <w:rPr>
          <w:b/>
          <w:color w:val="auto"/>
        </w:rPr>
        <w:t xml:space="preserve">13. </w:t>
      </w:r>
      <w:r w:rsidR="00EE24DA">
        <w:rPr>
          <w:b/>
          <w:color w:val="auto"/>
        </w:rPr>
        <w:t>Model SAMR służy ocenie kompetencji</w:t>
      </w:r>
      <w:r w:rsidRPr="00B27CC7">
        <w:rPr>
          <w:b/>
          <w:color w:val="auto"/>
        </w:rPr>
        <w:t xml:space="preserve">: </w:t>
      </w:r>
    </w:p>
    <w:p w:rsidR="00764049" w:rsidRPr="00B27CC7" w:rsidRDefault="00764049" w:rsidP="00764049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a) </w:t>
      </w:r>
      <w:r w:rsidR="00EE24DA">
        <w:rPr>
          <w:color w:val="auto"/>
        </w:rPr>
        <w:t>w naukach matematycznych.</w:t>
      </w:r>
    </w:p>
    <w:p w:rsidR="00764049" w:rsidRPr="00B27CC7" w:rsidRDefault="00764049" w:rsidP="00764049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lastRenderedPageBreak/>
        <w:t xml:space="preserve">b) </w:t>
      </w:r>
      <w:r w:rsidR="00EE24DA">
        <w:rPr>
          <w:color w:val="auto"/>
        </w:rPr>
        <w:t>w naukach przyrodniczych.</w:t>
      </w:r>
      <w:r w:rsidRPr="00B27CC7">
        <w:rPr>
          <w:color w:val="auto"/>
        </w:rPr>
        <w:t xml:space="preserve"> </w:t>
      </w:r>
    </w:p>
    <w:p w:rsidR="00764049" w:rsidRPr="00B27CC7" w:rsidRDefault="00764049" w:rsidP="00764049">
      <w:pPr>
        <w:pStyle w:val="Default"/>
        <w:rPr>
          <w:color w:val="auto"/>
        </w:rPr>
      </w:pPr>
      <w:r w:rsidRPr="00B27CC7">
        <w:rPr>
          <w:color w:val="auto"/>
        </w:rPr>
        <w:t xml:space="preserve">c) </w:t>
      </w:r>
      <w:r w:rsidR="00EE24DA">
        <w:rPr>
          <w:color w:val="auto"/>
        </w:rPr>
        <w:t>w stosowaniu technologii informatycznych</w:t>
      </w:r>
      <w:r w:rsidRPr="00B27CC7">
        <w:rPr>
          <w:color w:val="auto"/>
        </w:rPr>
        <w:t xml:space="preserve">. </w:t>
      </w:r>
    </w:p>
    <w:p w:rsidR="00764049" w:rsidRPr="00B27CC7" w:rsidRDefault="00764049" w:rsidP="00764049">
      <w:pPr>
        <w:pStyle w:val="Default"/>
        <w:rPr>
          <w:color w:val="auto"/>
        </w:rPr>
      </w:pPr>
    </w:p>
    <w:p w:rsidR="00764049" w:rsidRPr="00B27CC7" w:rsidRDefault="00764049" w:rsidP="00764049">
      <w:pPr>
        <w:pStyle w:val="Default"/>
        <w:spacing w:after="47"/>
        <w:rPr>
          <w:b/>
          <w:color w:val="auto"/>
        </w:rPr>
      </w:pPr>
      <w:r w:rsidRPr="00B27CC7">
        <w:rPr>
          <w:b/>
          <w:color w:val="auto"/>
        </w:rPr>
        <w:t xml:space="preserve">14. </w:t>
      </w:r>
      <w:r w:rsidR="00EE24DA">
        <w:rPr>
          <w:b/>
          <w:color w:val="auto"/>
        </w:rPr>
        <w:t>Najwyższym poziomem kompetencji w modelu SAMR jest</w:t>
      </w:r>
      <w:r w:rsidRPr="00B27CC7">
        <w:rPr>
          <w:b/>
          <w:color w:val="auto"/>
        </w:rPr>
        <w:t xml:space="preserve">: </w:t>
      </w:r>
    </w:p>
    <w:p w:rsidR="00764049" w:rsidRPr="00B27CC7" w:rsidRDefault="00764049" w:rsidP="00764049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a) </w:t>
      </w:r>
      <w:r w:rsidR="00073987">
        <w:rPr>
          <w:color w:val="auto"/>
        </w:rPr>
        <w:t>redefinicja</w:t>
      </w:r>
      <w:r w:rsidR="00EE24DA">
        <w:rPr>
          <w:color w:val="auto"/>
        </w:rPr>
        <w:t>.</w:t>
      </w:r>
      <w:r w:rsidRPr="00B27CC7">
        <w:rPr>
          <w:color w:val="auto"/>
        </w:rPr>
        <w:t xml:space="preserve"> </w:t>
      </w:r>
    </w:p>
    <w:p w:rsidR="00EE24DA" w:rsidRDefault="00764049" w:rsidP="00764049">
      <w:pPr>
        <w:pStyle w:val="Default"/>
        <w:rPr>
          <w:color w:val="auto"/>
        </w:rPr>
      </w:pPr>
      <w:r w:rsidRPr="00B27CC7">
        <w:rPr>
          <w:color w:val="auto"/>
        </w:rPr>
        <w:t xml:space="preserve">b) </w:t>
      </w:r>
      <w:r w:rsidR="00EE24DA">
        <w:rPr>
          <w:color w:val="auto"/>
        </w:rPr>
        <w:t>modyfikowanie.</w:t>
      </w:r>
    </w:p>
    <w:p w:rsidR="00764049" w:rsidRPr="00B27CC7" w:rsidRDefault="00EE24DA" w:rsidP="00764049">
      <w:pPr>
        <w:pStyle w:val="Default"/>
        <w:rPr>
          <w:color w:val="auto"/>
        </w:rPr>
      </w:pPr>
      <w:r>
        <w:rPr>
          <w:color w:val="auto"/>
        </w:rPr>
        <w:t xml:space="preserve">c) </w:t>
      </w:r>
      <w:r w:rsidR="00073987">
        <w:rPr>
          <w:color w:val="auto"/>
        </w:rPr>
        <w:t>rozszerzenie</w:t>
      </w:r>
      <w:r>
        <w:rPr>
          <w:color w:val="auto"/>
        </w:rPr>
        <w:t>.</w:t>
      </w:r>
      <w:r w:rsidR="00764049" w:rsidRPr="00B27CC7">
        <w:rPr>
          <w:color w:val="auto"/>
        </w:rPr>
        <w:t xml:space="preserve"> </w:t>
      </w:r>
    </w:p>
    <w:p w:rsidR="00764049" w:rsidRPr="00B27CC7" w:rsidRDefault="00764049" w:rsidP="00764049">
      <w:pPr>
        <w:pStyle w:val="Default"/>
        <w:rPr>
          <w:color w:val="auto"/>
        </w:rPr>
      </w:pPr>
    </w:p>
    <w:p w:rsidR="00764049" w:rsidRPr="00B27CC7" w:rsidRDefault="00764049" w:rsidP="00764049">
      <w:pPr>
        <w:pStyle w:val="Default"/>
        <w:spacing w:after="47"/>
        <w:rPr>
          <w:b/>
          <w:color w:val="auto"/>
        </w:rPr>
      </w:pPr>
      <w:r w:rsidRPr="00B27CC7">
        <w:rPr>
          <w:b/>
          <w:color w:val="auto"/>
        </w:rPr>
        <w:t xml:space="preserve">15. </w:t>
      </w:r>
      <w:proofErr w:type="spellStart"/>
      <w:r w:rsidR="00EE24DA">
        <w:rPr>
          <w:b/>
          <w:color w:val="auto"/>
        </w:rPr>
        <w:t>WebQuest</w:t>
      </w:r>
      <w:proofErr w:type="spellEnd"/>
      <w:r w:rsidR="00EE24DA">
        <w:rPr>
          <w:b/>
          <w:color w:val="auto"/>
        </w:rPr>
        <w:t xml:space="preserve"> jest to </w:t>
      </w:r>
      <w:r w:rsidRPr="00B27CC7">
        <w:rPr>
          <w:b/>
          <w:color w:val="auto"/>
        </w:rPr>
        <w:t xml:space="preserve">: </w:t>
      </w:r>
    </w:p>
    <w:p w:rsidR="00764049" w:rsidRPr="00B27CC7" w:rsidRDefault="00764049" w:rsidP="00764049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a) </w:t>
      </w:r>
      <w:r w:rsidR="00EE24DA">
        <w:rPr>
          <w:color w:val="auto"/>
        </w:rPr>
        <w:t>aplikacja do modelowego uczenia matematyki.</w:t>
      </w:r>
      <w:r w:rsidRPr="00B27CC7">
        <w:rPr>
          <w:color w:val="auto"/>
        </w:rPr>
        <w:t xml:space="preserve"> </w:t>
      </w:r>
    </w:p>
    <w:p w:rsidR="00764049" w:rsidRPr="00B27CC7" w:rsidRDefault="00764049" w:rsidP="00764049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b) </w:t>
      </w:r>
      <w:r w:rsidR="00EE24DA">
        <w:rPr>
          <w:color w:val="auto"/>
        </w:rPr>
        <w:t>narzędzie do wizualizacji doświadczeń z zakresu fizyki i chemii.</w:t>
      </w:r>
      <w:r w:rsidRPr="00B27CC7">
        <w:rPr>
          <w:color w:val="auto"/>
        </w:rPr>
        <w:t xml:space="preserve"> </w:t>
      </w:r>
    </w:p>
    <w:p w:rsidR="00EE24DA" w:rsidRDefault="00764049" w:rsidP="00764049">
      <w:pPr>
        <w:pStyle w:val="Default"/>
        <w:rPr>
          <w:color w:val="auto"/>
        </w:rPr>
      </w:pPr>
      <w:r w:rsidRPr="00B27CC7">
        <w:rPr>
          <w:color w:val="auto"/>
        </w:rPr>
        <w:t xml:space="preserve">c) </w:t>
      </w:r>
      <w:r w:rsidR="00EE24DA">
        <w:rPr>
          <w:color w:val="auto"/>
        </w:rPr>
        <w:t>metoda pracy dydaktycznej odwołująca się do zasobów informacyjnych obecnych w Internecie.</w:t>
      </w:r>
    </w:p>
    <w:p w:rsidR="00EE24DA" w:rsidRDefault="00EE24DA" w:rsidP="00764049">
      <w:pPr>
        <w:pStyle w:val="Default"/>
        <w:rPr>
          <w:color w:val="auto"/>
        </w:rPr>
      </w:pPr>
    </w:p>
    <w:p w:rsidR="00764049" w:rsidRPr="00B27CC7" w:rsidRDefault="00764049" w:rsidP="00764049">
      <w:pPr>
        <w:pStyle w:val="Default"/>
        <w:rPr>
          <w:color w:val="auto"/>
        </w:rPr>
      </w:pPr>
      <w:r w:rsidRPr="00B27CC7">
        <w:rPr>
          <w:color w:val="auto"/>
        </w:rPr>
        <w:t xml:space="preserve"> </w:t>
      </w:r>
    </w:p>
    <w:p w:rsidR="00073987" w:rsidRPr="00B27CC7" w:rsidRDefault="00073987" w:rsidP="00073987">
      <w:pPr>
        <w:pStyle w:val="Default"/>
        <w:spacing w:after="47"/>
        <w:rPr>
          <w:b/>
          <w:color w:val="auto"/>
        </w:rPr>
      </w:pPr>
      <w:r w:rsidRPr="00B27CC7">
        <w:rPr>
          <w:b/>
          <w:color w:val="auto"/>
        </w:rPr>
        <w:t>1</w:t>
      </w:r>
      <w:r>
        <w:rPr>
          <w:b/>
          <w:color w:val="auto"/>
        </w:rPr>
        <w:t>6</w:t>
      </w:r>
      <w:r w:rsidRPr="00B27CC7">
        <w:rPr>
          <w:b/>
          <w:color w:val="auto"/>
        </w:rPr>
        <w:t xml:space="preserve">. </w:t>
      </w:r>
      <w:r>
        <w:rPr>
          <w:b/>
          <w:color w:val="auto"/>
        </w:rPr>
        <w:t>W cyklu Kolba uczenie się dorosłych opiera się na cyklu</w:t>
      </w:r>
      <w:r w:rsidRPr="00B27CC7">
        <w:rPr>
          <w:b/>
          <w:color w:val="auto"/>
        </w:rPr>
        <w:t xml:space="preserve">: </w:t>
      </w:r>
    </w:p>
    <w:p w:rsidR="00073987" w:rsidRPr="00B27CC7" w:rsidRDefault="00073987" w:rsidP="00073987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a) </w:t>
      </w:r>
      <w:r>
        <w:rPr>
          <w:color w:val="auto"/>
        </w:rPr>
        <w:t>doświadczenie – akceptacja– zastosowanie.</w:t>
      </w:r>
      <w:r w:rsidRPr="00B27CC7">
        <w:rPr>
          <w:color w:val="auto"/>
        </w:rPr>
        <w:t xml:space="preserve"> </w:t>
      </w:r>
    </w:p>
    <w:p w:rsidR="00073987" w:rsidRPr="00B27CC7" w:rsidRDefault="00073987" w:rsidP="00073987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b) </w:t>
      </w:r>
      <w:r>
        <w:rPr>
          <w:color w:val="auto"/>
        </w:rPr>
        <w:t>doświadczenie – refleksja – generalizowanie – zastosowanie.</w:t>
      </w:r>
      <w:r w:rsidRPr="00B27CC7">
        <w:rPr>
          <w:color w:val="auto"/>
        </w:rPr>
        <w:t xml:space="preserve"> </w:t>
      </w:r>
    </w:p>
    <w:p w:rsidR="00CC4FC7" w:rsidRDefault="00073987" w:rsidP="00073987">
      <w:pPr>
        <w:pStyle w:val="Default"/>
        <w:rPr>
          <w:color w:val="auto"/>
        </w:rPr>
      </w:pPr>
      <w:r w:rsidRPr="00B27CC7">
        <w:rPr>
          <w:color w:val="auto"/>
        </w:rPr>
        <w:t xml:space="preserve">c) </w:t>
      </w:r>
      <w:r>
        <w:rPr>
          <w:color w:val="auto"/>
        </w:rPr>
        <w:t>doświadczenie – ćwiczenie – generalizowanie – dowodzenie –  zastosowanie.</w:t>
      </w:r>
    </w:p>
    <w:p w:rsidR="00073987" w:rsidRDefault="00073987" w:rsidP="00073987">
      <w:pPr>
        <w:pStyle w:val="Default"/>
        <w:rPr>
          <w:color w:val="auto"/>
        </w:rPr>
      </w:pPr>
    </w:p>
    <w:p w:rsidR="00073987" w:rsidRDefault="00073987" w:rsidP="00073987">
      <w:pPr>
        <w:pStyle w:val="Default"/>
        <w:rPr>
          <w:color w:val="auto"/>
        </w:rPr>
      </w:pPr>
      <w:r>
        <w:rPr>
          <w:color w:val="auto"/>
        </w:rPr>
        <w:t xml:space="preserve">Odpowiedzi: </w:t>
      </w:r>
    </w:p>
    <w:p w:rsidR="00073987" w:rsidRDefault="00073987" w:rsidP="00073987">
      <w:pPr>
        <w:pStyle w:val="Default"/>
        <w:rPr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1051"/>
        <w:gridCol w:w="1271"/>
        <w:gridCol w:w="1051"/>
        <w:gridCol w:w="1271"/>
        <w:gridCol w:w="1051"/>
        <w:gridCol w:w="1271"/>
        <w:gridCol w:w="1051"/>
        <w:gridCol w:w="1271"/>
      </w:tblGrid>
      <w:tr w:rsidR="00073987" w:rsidTr="00073987"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pytanie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Odp. poprawna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pytanie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Odp. poprawna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pytanie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Odp. poprawna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pytanie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Odp. poprawna</w:t>
            </w:r>
          </w:p>
        </w:tc>
      </w:tr>
      <w:tr w:rsidR="00073987" w:rsidTr="00073987"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1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  <w:jc w:val="center"/>
            </w:pPr>
            <w:r>
              <w:t>C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5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  <w:jc w:val="center"/>
            </w:pPr>
            <w:r>
              <w:t>C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9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  <w:jc w:val="center"/>
            </w:pPr>
            <w:r>
              <w:t>B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13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  <w:jc w:val="center"/>
            </w:pPr>
            <w:r>
              <w:t>C</w:t>
            </w:r>
          </w:p>
        </w:tc>
      </w:tr>
      <w:tr w:rsidR="00073987" w:rsidTr="00073987"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2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  <w:jc w:val="center"/>
            </w:pPr>
            <w:r>
              <w:t>C; D; E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6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  <w:jc w:val="center"/>
            </w:pPr>
            <w:r>
              <w:t>B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10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  <w:jc w:val="center"/>
            </w:pPr>
            <w:r>
              <w:t>B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14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  <w:jc w:val="center"/>
            </w:pPr>
            <w:r>
              <w:t>A</w:t>
            </w:r>
          </w:p>
        </w:tc>
      </w:tr>
      <w:tr w:rsidR="00073987" w:rsidTr="00073987"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3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  <w:jc w:val="center"/>
            </w:pPr>
            <w:r>
              <w:t>A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7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  <w:jc w:val="center"/>
            </w:pPr>
            <w:r>
              <w:t>C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11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  <w:jc w:val="center"/>
            </w:pPr>
            <w:r>
              <w:t>B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15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  <w:jc w:val="center"/>
            </w:pPr>
            <w:r>
              <w:t>C</w:t>
            </w:r>
          </w:p>
        </w:tc>
      </w:tr>
      <w:tr w:rsidR="00073987" w:rsidTr="00073987"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4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  <w:jc w:val="center"/>
            </w:pPr>
            <w:r>
              <w:t>C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</w:pPr>
            <w:r>
              <w:t>8</w:t>
            </w:r>
          </w:p>
        </w:tc>
        <w:tc>
          <w:tcPr>
            <w:tcW w:w="1151" w:type="dxa"/>
          </w:tcPr>
          <w:p w:rsidR="00073987" w:rsidRDefault="00073987" w:rsidP="00073987">
            <w:pPr>
              <w:pStyle w:val="Default"/>
              <w:jc w:val="center"/>
            </w:pPr>
            <w:r>
              <w:t>B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12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  <w:jc w:val="center"/>
            </w:pPr>
            <w:r>
              <w:t>B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</w:pPr>
            <w:r>
              <w:t>16</w:t>
            </w:r>
          </w:p>
        </w:tc>
        <w:tc>
          <w:tcPr>
            <w:tcW w:w="1152" w:type="dxa"/>
          </w:tcPr>
          <w:p w:rsidR="00073987" w:rsidRDefault="00073987" w:rsidP="00073987">
            <w:pPr>
              <w:pStyle w:val="Default"/>
              <w:jc w:val="center"/>
            </w:pPr>
            <w:r>
              <w:t>B</w:t>
            </w:r>
          </w:p>
        </w:tc>
      </w:tr>
    </w:tbl>
    <w:p w:rsidR="00073987" w:rsidRDefault="00073987" w:rsidP="00073987">
      <w:pPr>
        <w:pStyle w:val="Default"/>
      </w:pPr>
    </w:p>
    <w:sectPr w:rsidR="00073987" w:rsidSect="00CC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FE2"/>
    <w:multiLevelType w:val="multilevel"/>
    <w:tmpl w:val="92D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96146"/>
    <w:multiLevelType w:val="multilevel"/>
    <w:tmpl w:val="24461D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E5AC4"/>
    <w:multiLevelType w:val="multilevel"/>
    <w:tmpl w:val="A53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124AC"/>
    <w:multiLevelType w:val="multilevel"/>
    <w:tmpl w:val="36DE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049"/>
    <w:rsid w:val="00073987"/>
    <w:rsid w:val="000974AB"/>
    <w:rsid w:val="0039422E"/>
    <w:rsid w:val="00764049"/>
    <w:rsid w:val="007859F5"/>
    <w:rsid w:val="00AF78EC"/>
    <w:rsid w:val="00BB0B94"/>
    <w:rsid w:val="00BF79F8"/>
    <w:rsid w:val="00CB612E"/>
    <w:rsid w:val="00CC4FC7"/>
    <w:rsid w:val="00E727BA"/>
    <w:rsid w:val="00E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4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6</cp:revision>
  <dcterms:created xsi:type="dcterms:W3CDTF">2018-12-27T08:26:00Z</dcterms:created>
  <dcterms:modified xsi:type="dcterms:W3CDTF">2018-12-27T09:49:00Z</dcterms:modified>
</cp:coreProperties>
</file>